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9"/>
        <w:gridCol w:w="3765"/>
      </w:tblGrid>
      <w:tr w:rsidR="00027BC8" w:rsidRPr="00ED1C94" w:rsidTr="007D45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0"/>
              <w:jc w:val="center"/>
              <w:rPr>
                <w:lang w:val="ru-RU"/>
              </w:rPr>
            </w:pPr>
            <w:r w:rsidRPr="00317CF3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216D84">
            <w:pPr>
              <w:spacing w:after="0"/>
              <w:jc w:val="right"/>
              <w:rPr>
                <w:sz w:val="20"/>
                <w:szCs w:val="20"/>
                <w:lang w:val="ru-RU"/>
              </w:rPr>
            </w:pPr>
            <w:r w:rsidRPr="00317CF3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к Правилам присвоения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ученых званий (ассоциированный</w:t>
            </w:r>
            <w:r w:rsidRPr="00317CF3">
              <w:rPr>
                <w:sz w:val="20"/>
                <w:szCs w:val="20"/>
                <w:lang w:val="ru-RU"/>
              </w:rPr>
              <w:br/>
            </w:r>
            <w:r w:rsidRPr="00317CF3">
              <w:rPr>
                <w:color w:val="000000"/>
                <w:sz w:val="20"/>
                <w:szCs w:val="20"/>
                <w:lang w:val="ru-RU"/>
              </w:rPr>
              <w:t>профессор (доцент), профессор)</w:t>
            </w:r>
          </w:p>
        </w:tc>
      </w:tr>
    </w:tbl>
    <w:p w:rsidR="005E7954" w:rsidRPr="00317CF3" w:rsidRDefault="005E7954" w:rsidP="008A308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78"/>
    </w:p>
    <w:p w:rsidR="00027BC8" w:rsidRPr="00A46D28" w:rsidRDefault="00027BC8" w:rsidP="008A3082">
      <w:pPr>
        <w:spacing w:after="0"/>
        <w:jc w:val="center"/>
        <w:rPr>
          <w:b/>
          <w:sz w:val="24"/>
          <w:szCs w:val="24"/>
          <w:lang w:val="ru-RU"/>
        </w:rPr>
      </w:pPr>
      <w:r w:rsidRPr="00A46D28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:rsidR="00027BC8" w:rsidRPr="00A46D28" w:rsidRDefault="00027BC8" w:rsidP="008A3082">
      <w:pPr>
        <w:spacing w:after="0"/>
        <w:jc w:val="center"/>
        <w:rPr>
          <w:b/>
          <w:sz w:val="24"/>
          <w:szCs w:val="24"/>
          <w:lang w:val="ru-RU"/>
        </w:rPr>
      </w:pPr>
      <w:r w:rsidRPr="00A46D28">
        <w:rPr>
          <w:b/>
          <w:color w:val="000000"/>
          <w:sz w:val="24"/>
          <w:szCs w:val="24"/>
          <w:lang w:val="ru-RU"/>
        </w:rPr>
        <w:t>о соискателе ученого звания</w:t>
      </w:r>
      <w:r w:rsidR="00397861">
        <w:rPr>
          <w:b/>
          <w:color w:val="000000"/>
          <w:sz w:val="24"/>
          <w:szCs w:val="24"/>
          <w:lang w:val="ru-RU"/>
        </w:rPr>
        <w:t xml:space="preserve"> </w:t>
      </w:r>
      <w:r w:rsidRPr="00A46D28">
        <w:rPr>
          <w:b/>
          <w:color w:val="000000"/>
          <w:sz w:val="24"/>
          <w:szCs w:val="24"/>
          <w:lang w:val="ru-RU"/>
        </w:rPr>
        <w:t>ассоциированный профессор (доцент)</w:t>
      </w:r>
    </w:p>
    <w:p w:rsidR="00216D84" w:rsidRPr="00A46D28" w:rsidRDefault="00A46D28" w:rsidP="008A308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46D28">
        <w:rPr>
          <w:b/>
          <w:sz w:val="24"/>
          <w:szCs w:val="24"/>
          <w:lang w:val="ru-RU"/>
        </w:rPr>
        <w:t>по научному направлению «40100 – Сельское, лесное и рыбное хозяйство»</w:t>
      </w:r>
      <w:r w:rsidR="00397861">
        <w:rPr>
          <w:b/>
          <w:sz w:val="24"/>
          <w:szCs w:val="24"/>
          <w:lang w:val="ru-RU"/>
        </w:rPr>
        <w:t xml:space="preserve"> (специальность «40101 – Агрономия»)</w:t>
      </w:r>
    </w:p>
    <w:p w:rsidR="00027BC8" w:rsidRPr="00317CF3" w:rsidRDefault="00027BC8" w:rsidP="008A3082">
      <w:pPr>
        <w:spacing w:after="0"/>
        <w:jc w:val="center"/>
        <w:rPr>
          <w:sz w:val="24"/>
          <w:szCs w:val="24"/>
          <w:lang w:val="ru-RU"/>
        </w:rPr>
      </w:pPr>
      <w:r w:rsidRPr="00317CF3">
        <w:rPr>
          <w:color w:val="000000"/>
          <w:sz w:val="24"/>
          <w:szCs w:val="24"/>
          <w:lang w:val="ru-RU"/>
        </w:rPr>
        <w:t>(шифр и наименование специальности)</w:t>
      </w:r>
    </w:p>
    <w:tbl>
      <w:tblPr>
        <w:tblW w:w="9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100"/>
        <w:gridCol w:w="4830"/>
      </w:tblGrid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8A3082" w:rsidP="0010215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Тулькубаева Сания Абильтаевна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AF7" w:rsidRPr="00317CF3" w:rsidRDefault="00DD6AF7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Кандидат сельскохозяйственных наук по специальности «06.01.09 – растениеводство»</w:t>
            </w:r>
            <w:r w:rsidR="00E043F6" w:rsidRPr="00317CF3">
              <w:rPr>
                <w:sz w:val="24"/>
                <w:szCs w:val="24"/>
                <w:lang w:val="ru-RU"/>
              </w:rPr>
              <w:t>, диплом</w:t>
            </w:r>
            <w:proofErr w:type="gramStart"/>
            <w:r w:rsidR="00E043F6" w:rsidRPr="00317CF3">
              <w:rPr>
                <w:sz w:val="24"/>
                <w:szCs w:val="24"/>
                <w:lang w:val="ru-RU"/>
              </w:rPr>
              <w:t xml:space="preserve"> </w:t>
            </w:r>
            <w:r w:rsidR="00703BF6">
              <w:rPr>
                <w:sz w:val="24"/>
                <w:szCs w:val="24"/>
                <w:lang w:val="ru-RU"/>
              </w:rPr>
              <w:t>ҒК</w:t>
            </w:r>
            <w:proofErr w:type="gramEnd"/>
            <w:r w:rsidR="00703BF6">
              <w:rPr>
                <w:sz w:val="24"/>
                <w:szCs w:val="24"/>
                <w:lang w:val="ru-RU"/>
              </w:rPr>
              <w:t xml:space="preserve"> №0003325</w:t>
            </w:r>
            <w:r w:rsidR="00E043F6" w:rsidRPr="00317CF3">
              <w:rPr>
                <w:sz w:val="24"/>
                <w:szCs w:val="24"/>
                <w:lang w:val="ru-RU"/>
              </w:rPr>
              <w:t>.</w:t>
            </w:r>
          </w:p>
          <w:p w:rsidR="00027BC8" w:rsidRPr="00317CF3" w:rsidRDefault="00B41AD8" w:rsidP="00E043F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Решение Комитета по контролю в сфере образования и науки Республики Казахстан от 22 сентября 2009 г., протокол №7</w:t>
            </w:r>
            <w:r w:rsidR="00E043F6" w:rsidRPr="00317CF3">
              <w:rPr>
                <w:sz w:val="24"/>
                <w:szCs w:val="24"/>
                <w:lang w:val="ru-RU"/>
              </w:rPr>
              <w:t>.</w:t>
            </w:r>
          </w:p>
        </w:tc>
      </w:tr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5E7954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5E7954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703BF6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3BF6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703BF6" w:rsidRDefault="008568B1" w:rsidP="007470D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3BF6">
              <w:rPr>
                <w:sz w:val="24"/>
                <w:szCs w:val="24"/>
                <w:lang w:val="ru-RU"/>
              </w:rPr>
              <w:t xml:space="preserve">И.о. доцента (ассоциированного профессора) на кафедре </w:t>
            </w:r>
            <w:r w:rsidR="006E7D3B" w:rsidRPr="00703BF6">
              <w:rPr>
                <w:sz w:val="24"/>
                <w:szCs w:val="24"/>
                <w:lang w:val="ru-RU"/>
              </w:rPr>
              <w:t>стандартизации</w:t>
            </w:r>
            <w:r w:rsidRPr="00703BF6">
              <w:rPr>
                <w:sz w:val="24"/>
                <w:szCs w:val="24"/>
                <w:lang w:val="ru-RU"/>
              </w:rPr>
              <w:t xml:space="preserve"> и пищевы</w:t>
            </w:r>
            <w:r w:rsidR="006E7D3B" w:rsidRPr="00703BF6">
              <w:rPr>
                <w:sz w:val="24"/>
                <w:szCs w:val="24"/>
                <w:lang w:val="ru-RU"/>
              </w:rPr>
              <w:t>х технологий</w:t>
            </w:r>
            <w:r w:rsidRPr="00703BF6">
              <w:rPr>
                <w:sz w:val="24"/>
                <w:szCs w:val="24"/>
                <w:lang w:val="ru-RU"/>
              </w:rPr>
              <w:t xml:space="preserve"> </w:t>
            </w:r>
            <w:r w:rsidR="00B367C1" w:rsidRPr="00703BF6">
              <w:rPr>
                <w:sz w:val="24"/>
                <w:szCs w:val="24"/>
                <w:lang w:val="ru-RU"/>
              </w:rPr>
              <w:t>Костанайского инженерно-экономического университета им</w:t>
            </w:r>
            <w:r w:rsidR="006E7D3B" w:rsidRPr="00703BF6">
              <w:rPr>
                <w:sz w:val="24"/>
                <w:szCs w:val="24"/>
                <w:lang w:val="ru-RU"/>
              </w:rPr>
              <w:t>ени</w:t>
            </w:r>
            <w:r w:rsidR="00B367C1" w:rsidRPr="00703BF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7C1" w:rsidRPr="00703BF6">
              <w:rPr>
                <w:sz w:val="24"/>
                <w:szCs w:val="24"/>
                <w:lang w:val="ru-RU"/>
              </w:rPr>
              <w:t>М.Дулатова</w:t>
            </w:r>
            <w:proofErr w:type="spellEnd"/>
            <w:r w:rsidR="006E7D3B" w:rsidRPr="00703BF6">
              <w:rPr>
                <w:sz w:val="24"/>
                <w:szCs w:val="24"/>
                <w:lang w:val="ru-RU"/>
              </w:rPr>
              <w:t xml:space="preserve">, </w:t>
            </w:r>
            <w:r w:rsidR="007470D8">
              <w:rPr>
                <w:sz w:val="24"/>
                <w:szCs w:val="24"/>
                <w:lang w:val="ru-RU"/>
              </w:rPr>
              <w:t>п</w:t>
            </w:r>
            <w:r w:rsidR="006E7D3B" w:rsidRPr="00703BF6">
              <w:rPr>
                <w:sz w:val="24"/>
                <w:szCs w:val="24"/>
                <w:lang w:val="ru-RU"/>
              </w:rPr>
              <w:t xml:space="preserve">риказ </w:t>
            </w:r>
            <w:r w:rsidR="007470D8" w:rsidRPr="00703BF6">
              <w:rPr>
                <w:sz w:val="24"/>
                <w:szCs w:val="24"/>
                <w:lang w:val="ru-RU"/>
              </w:rPr>
              <w:t>№317</w:t>
            </w:r>
            <w:r w:rsidR="007470D8">
              <w:rPr>
                <w:sz w:val="24"/>
                <w:szCs w:val="24"/>
                <w:lang w:val="ru-RU"/>
              </w:rPr>
              <w:t xml:space="preserve"> </w:t>
            </w:r>
            <w:r w:rsidR="006E7D3B" w:rsidRPr="00703BF6">
              <w:rPr>
                <w:sz w:val="24"/>
                <w:szCs w:val="24"/>
                <w:lang w:val="ru-RU"/>
              </w:rPr>
              <w:t xml:space="preserve">от </w:t>
            </w:r>
            <w:r w:rsidR="00703BF6" w:rsidRPr="00703BF6">
              <w:rPr>
                <w:sz w:val="24"/>
                <w:szCs w:val="24"/>
                <w:lang w:val="ru-RU"/>
              </w:rPr>
              <w:t xml:space="preserve">21.10.2009 </w:t>
            </w:r>
            <w:r w:rsidR="006E7D3B" w:rsidRPr="00703BF6">
              <w:rPr>
                <w:sz w:val="24"/>
                <w:szCs w:val="24"/>
                <w:lang w:val="ru-RU"/>
              </w:rPr>
              <w:t xml:space="preserve">г. 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52622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568B1" w:rsidRPr="009A5016">
              <w:rPr>
                <w:color w:val="000000"/>
                <w:sz w:val="24"/>
                <w:szCs w:val="24"/>
                <w:u w:val="single"/>
                <w:lang w:val="ru-RU"/>
              </w:rPr>
              <w:t>21</w:t>
            </w:r>
            <w:r w:rsidR="008568B1" w:rsidRPr="00317CF3">
              <w:rPr>
                <w:color w:val="000000"/>
                <w:sz w:val="24"/>
                <w:szCs w:val="24"/>
                <w:lang w:val="ru-RU"/>
              </w:rPr>
              <w:t xml:space="preserve"> год</w:t>
            </w:r>
            <w:r w:rsidRPr="00317CF3">
              <w:rPr>
                <w:color w:val="000000"/>
                <w:sz w:val="24"/>
                <w:szCs w:val="24"/>
                <w:lang w:val="ru-RU"/>
              </w:rPr>
              <w:t xml:space="preserve">, в том числе в должности </w:t>
            </w:r>
            <w:r w:rsidR="00F417C2" w:rsidRPr="00317CF3">
              <w:rPr>
                <w:sz w:val="24"/>
                <w:szCs w:val="24"/>
                <w:lang w:val="ru-RU"/>
              </w:rPr>
              <w:t>И.о. доцента (ассоциированного профессора)</w:t>
            </w:r>
            <w:r w:rsidR="00062B65" w:rsidRPr="00317CF3">
              <w:rPr>
                <w:sz w:val="24"/>
                <w:szCs w:val="24"/>
                <w:lang w:val="ru-RU"/>
              </w:rPr>
              <w:t xml:space="preserve"> </w:t>
            </w:r>
            <w:r w:rsidR="00526225" w:rsidRPr="009A5016">
              <w:rPr>
                <w:sz w:val="24"/>
                <w:szCs w:val="24"/>
                <w:u w:val="single"/>
                <w:lang w:val="ru-RU"/>
              </w:rPr>
              <w:t>11</w:t>
            </w:r>
            <w:r w:rsidR="00526225">
              <w:rPr>
                <w:sz w:val="24"/>
                <w:szCs w:val="24"/>
                <w:lang w:val="ru-RU"/>
              </w:rPr>
              <w:t xml:space="preserve"> </w:t>
            </w:r>
            <w:r w:rsidRPr="00317CF3"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F417C2" w:rsidRPr="00317CF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7A5957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1F560B" w:rsidRPr="009A5016">
              <w:rPr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="002112D9">
              <w:rPr>
                <w:color w:val="000000"/>
                <w:sz w:val="24"/>
                <w:szCs w:val="24"/>
                <w:u w:val="single"/>
                <w:lang w:val="ru-RU"/>
              </w:rPr>
              <w:t>6</w:t>
            </w:r>
            <w:r w:rsidR="003B4EE1">
              <w:rPr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Pr="007A595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27BC8" w:rsidRPr="007A5957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5957">
              <w:rPr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062B65"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12D9">
              <w:rPr>
                <w:color w:val="000000"/>
                <w:sz w:val="24"/>
                <w:szCs w:val="24"/>
                <w:u w:val="single"/>
                <w:lang w:val="ru-RU"/>
              </w:rPr>
              <w:t>37</w:t>
            </w:r>
            <w:r w:rsidRPr="007A595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27BC8" w:rsidRPr="007A5957" w:rsidRDefault="00027BC8" w:rsidP="00DC307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>) (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Web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Science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Core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Collection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Clarivate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Analytics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)) </w:t>
            </w:r>
            <w:r w:rsidR="007A5957" w:rsidRPr="009A5016">
              <w:rPr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5957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7A5957">
              <w:rPr>
                <w:color w:val="000000"/>
                <w:sz w:val="24"/>
                <w:szCs w:val="24"/>
                <w:lang w:val="ru-RU"/>
              </w:rPr>
              <w:t xml:space="preserve">) или JSTOR (ДЖЕЙСТОР) </w:t>
            </w:r>
            <w:r w:rsidR="007A5957" w:rsidRPr="009A5016">
              <w:rPr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="00DC307A" w:rsidRPr="00DC307A">
              <w:rPr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7A5957">
              <w:rPr>
                <w:color w:val="000000"/>
                <w:sz w:val="24"/>
                <w:szCs w:val="24"/>
                <w:lang w:val="ru-RU"/>
              </w:rPr>
              <w:t>,</w:t>
            </w:r>
            <w:r w:rsidR="00526225"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A5957">
              <w:rPr>
                <w:color w:val="000000"/>
                <w:sz w:val="24"/>
                <w:szCs w:val="24"/>
                <w:lang w:val="ru-RU"/>
              </w:rPr>
              <w:t>охранных документов (</w:t>
            </w:r>
            <w:r w:rsidR="003F109E" w:rsidRPr="007A5957">
              <w:rPr>
                <w:color w:val="000000"/>
                <w:sz w:val="24"/>
                <w:szCs w:val="24"/>
                <w:lang w:val="ru-RU"/>
              </w:rPr>
              <w:t>патентов</w:t>
            </w:r>
            <w:r w:rsidR="007A5957">
              <w:rPr>
                <w:color w:val="000000"/>
                <w:sz w:val="24"/>
                <w:szCs w:val="24"/>
                <w:lang w:val="ru-RU"/>
              </w:rPr>
              <w:t>)</w:t>
            </w:r>
            <w:r w:rsidR="003F109E" w:rsidRPr="007A59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F109E" w:rsidRPr="009A5016">
              <w:rPr>
                <w:color w:val="000000"/>
                <w:sz w:val="24"/>
                <w:szCs w:val="24"/>
                <w:u w:val="single"/>
                <w:lang w:val="ru-RU"/>
              </w:rPr>
              <w:t>6</w:t>
            </w:r>
            <w:r w:rsidR="003F109E" w:rsidRPr="007A595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317CF3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317CF3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7A5957" w:rsidRDefault="0068400C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5957">
              <w:rPr>
                <w:sz w:val="24"/>
                <w:szCs w:val="24"/>
                <w:lang w:val="ru-RU"/>
              </w:rPr>
              <w:t>1</w:t>
            </w:r>
            <w:r w:rsidR="006A4602" w:rsidRPr="007A5957">
              <w:rPr>
                <w:sz w:val="24"/>
                <w:szCs w:val="24"/>
                <w:lang w:val="ru-RU"/>
              </w:rPr>
              <w:t xml:space="preserve"> монографи</w:t>
            </w:r>
            <w:r w:rsidRPr="007A5957">
              <w:rPr>
                <w:sz w:val="24"/>
                <w:szCs w:val="24"/>
                <w:lang w:val="ru-RU"/>
              </w:rPr>
              <w:t>я</w:t>
            </w:r>
            <w:r w:rsidR="006A4602" w:rsidRPr="007A5957">
              <w:rPr>
                <w:sz w:val="24"/>
                <w:szCs w:val="24"/>
                <w:lang w:val="ru-RU"/>
              </w:rPr>
              <w:t>:</w:t>
            </w:r>
          </w:p>
          <w:p w:rsidR="006A4602" w:rsidRPr="007A5957" w:rsidRDefault="003F109E" w:rsidP="001F560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A5957">
              <w:rPr>
                <w:sz w:val="24"/>
                <w:szCs w:val="24"/>
                <w:lang w:val="ru-RU"/>
              </w:rPr>
              <w:t>Абуова</w:t>
            </w:r>
            <w:proofErr w:type="spellEnd"/>
            <w:r w:rsidRPr="007A5957">
              <w:rPr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7A5957">
              <w:rPr>
                <w:sz w:val="24"/>
                <w:szCs w:val="24"/>
                <w:lang w:val="ru-RU"/>
              </w:rPr>
              <w:t>Тулькубаева</w:t>
            </w:r>
            <w:proofErr w:type="spellEnd"/>
            <w:r w:rsidRPr="007A5957">
              <w:rPr>
                <w:sz w:val="24"/>
                <w:szCs w:val="24"/>
                <w:lang w:val="ru-RU"/>
              </w:rPr>
              <w:t xml:space="preserve"> С.А. Яровой рапс: технология возделывания и переработки</w:t>
            </w:r>
            <w:r w:rsidR="001F560B" w:rsidRPr="007A5957">
              <w:rPr>
                <w:sz w:val="24"/>
                <w:szCs w:val="24"/>
                <w:lang w:val="ru-RU"/>
              </w:rPr>
              <w:t>: м</w:t>
            </w:r>
            <w:r w:rsidRPr="007A5957">
              <w:rPr>
                <w:sz w:val="24"/>
                <w:szCs w:val="24"/>
                <w:lang w:val="ru-RU"/>
              </w:rPr>
              <w:t xml:space="preserve">онография – </w:t>
            </w:r>
            <w:proofErr w:type="spellStart"/>
            <w:r w:rsidRPr="007A5957">
              <w:rPr>
                <w:sz w:val="24"/>
                <w:szCs w:val="24"/>
                <w:lang w:val="ru-RU"/>
              </w:rPr>
              <w:t>переизд</w:t>
            </w:r>
            <w:proofErr w:type="spellEnd"/>
            <w:r w:rsidRPr="007A5957">
              <w:rPr>
                <w:sz w:val="24"/>
                <w:szCs w:val="24"/>
                <w:lang w:val="ru-RU"/>
              </w:rPr>
              <w:t xml:space="preserve">. – Костанай: ТОО </w:t>
            </w:r>
            <w:r w:rsidRPr="007A5957">
              <w:rPr>
                <w:sz w:val="24"/>
                <w:szCs w:val="24"/>
                <w:lang w:val="ru-RU"/>
              </w:rPr>
              <w:lastRenderedPageBreak/>
              <w:t>«Сельскохозяйственная опытная станция «Заречное», 2023. – 257 с. (ISBN 978-601-80983-6-9).</w:t>
            </w:r>
          </w:p>
        </w:tc>
      </w:tr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317CF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317CF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27BC8" w:rsidRPr="00317CF3" w:rsidRDefault="0068400C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17CF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27BC8" w:rsidRPr="00317CF3" w:rsidRDefault="0068400C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27BC8" w:rsidRPr="00317CF3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27BC8" w:rsidRPr="00317CF3" w:rsidRDefault="0068400C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027BC8" w:rsidRPr="00ED1C94" w:rsidTr="00497B3D">
        <w:trPr>
          <w:trHeight w:val="17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BC8" w:rsidRPr="00317CF3" w:rsidRDefault="00027BC8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17CF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6B5" w:rsidRDefault="00CF7707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ru-RU"/>
              </w:rPr>
              <w:t>-индекс (</w:t>
            </w:r>
            <w:r>
              <w:rPr>
                <w:sz w:val="24"/>
                <w:szCs w:val="24"/>
              </w:rPr>
              <w:t>Scopus</w:t>
            </w:r>
            <w:r>
              <w:rPr>
                <w:sz w:val="24"/>
                <w:szCs w:val="24"/>
                <w:lang w:val="ru-RU"/>
              </w:rPr>
              <w:t xml:space="preserve">) – </w:t>
            </w:r>
            <w:r w:rsidR="00931547">
              <w:rPr>
                <w:sz w:val="24"/>
                <w:szCs w:val="24"/>
                <w:lang w:val="ru-RU"/>
              </w:rPr>
              <w:t>3</w:t>
            </w:r>
            <w:r w:rsidR="002C6FFF">
              <w:rPr>
                <w:sz w:val="24"/>
                <w:szCs w:val="24"/>
                <w:lang w:val="ru-RU"/>
              </w:rPr>
              <w:t>.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 б</w:t>
            </w:r>
            <w:r w:rsidRPr="003E1E37">
              <w:rPr>
                <w:sz w:val="24"/>
                <w:szCs w:val="24"/>
                <w:lang w:val="ru-RU"/>
              </w:rPr>
              <w:t>олее 30 сертификатов и</w:t>
            </w:r>
            <w:r>
              <w:rPr>
                <w:sz w:val="24"/>
                <w:szCs w:val="24"/>
                <w:lang w:val="ru-RU"/>
              </w:rPr>
              <w:t xml:space="preserve"> удостоверений КПК и стажировок: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E1E37">
              <w:rPr>
                <w:sz w:val="24"/>
                <w:szCs w:val="24"/>
                <w:lang w:val="ru-RU"/>
              </w:rPr>
              <w:t>1. Сертификат ФГБНУ «Агрофизический научно-исследовательский институт» (г. Санкт-Петербург, Россия). Тема «Комплексное обследование и спутниковый мониторинг сельскохозяйственных полей для внедрения технологий точного земледелия», 10-14 декабря 2018 г.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E1E37">
              <w:rPr>
                <w:sz w:val="24"/>
                <w:szCs w:val="24"/>
                <w:lang w:val="ru-RU"/>
              </w:rPr>
              <w:t>. Сертификат Берлинского технического университета (г. Берлин, Германия). Тема «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Schulung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in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Geografischem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Informationssystem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Fernerkundung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Raumfahrttechnologien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>» («Тренинг по географической информационной системе / дистанционному зондированию / космическим технологиям»), №160, 19-30 августа 2019 г.</w:t>
            </w:r>
          </w:p>
          <w:p w:rsidR="00004E49" w:rsidRDefault="00526B7B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3E1E37" w:rsidRPr="003E1E37">
              <w:rPr>
                <w:sz w:val="24"/>
                <w:szCs w:val="24"/>
                <w:lang w:val="ru-RU"/>
              </w:rPr>
              <w:t xml:space="preserve">. Удостоверение о повышении квалификации в ФГБОУ </w:t>
            </w:r>
            <w:proofErr w:type="gramStart"/>
            <w:r w:rsidR="003E1E37" w:rsidRPr="003E1E37">
              <w:rPr>
                <w:sz w:val="24"/>
                <w:szCs w:val="24"/>
                <w:lang w:val="ru-RU"/>
              </w:rPr>
              <w:t>ВО</w:t>
            </w:r>
            <w:proofErr w:type="gramEnd"/>
            <w:r w:rsidR="003E1E37" w:rsidRPr="003E1E37">
              <w:rPr>
                <w:sz w:val="24"/>
                <w:szCs w:val="24"/>
                <w:lang w:val="ru-RU"/>
              </w:rPr>
              <w:t xml:space="preserve"> «Самарский государственный аграрный университет» (Самарская область, г. </w:t>
            </w:r>
            <w:proofErr w:type="spellStart"/>
            <w:r w:rsidR="003E1E37" w:rsidRPr="003E1E37">
              <w:rPr>
                <w:sz w:val="24"/>
                <w:szCs w:val="24"/>
                <w:lang w:val="ru-RU"/>
              </w:rPr>
              <w:t>Кинель</w:t>
            </w:r>
            <w:proofErr w:type="spellEnd"/>
            <w:r w:rsidR="003E1E37" w:rsidRPr="003E1E37">
              <w:rPr>
                <w:sz w:val="24"/>
                <w:szCs w:val="24"/>
                <w:lang w:val="ru-RU"/>
              </w:rPr>
              <w:t xml:space="preserve">, Россия) по дополнительной </w:t>
            </w:r>
            <w:r w:rsidR="003E1E37" w:rsidRPr="003E1E37">
              <w:rPr>
                <w:sz w:val="24"/>
                <w:szCs w:val="24"/>
                <w:lang w:val="ru-RU"/>
              </w:rPr>
              <w:lastRenderedPageBreak/>
              <w:t>профессиональной программе «Адаптивное земледелие и растениеводство», регистрационный номер 6805 от 27 октября 2023 г., 16-27 октября 2023 г., 72 часа.</w:t>
            </w:r>
          </w:p>
          <w:p w:rsidR="00004E49" w:rsidRDefault="00004E49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Участвовала в реализации научных проектов: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E1E37">
              <w:rPr>
                <w:sz w:val="24"/>
                <w:szCs w:val="24"/>
                <w:lang w:val="ru-RU"/>
              </w:rPr>
              <w:t>1. «Разработать в системе целостного сберегающего земледелия агротехнические приемы возделывания льна, рапса, рыжика на маслосемена в условиях засушливой степи Северного Казахстана» (2012-2014 гг., рег.№0112РК01849) в рамках ПЦФ МСХ РК – научный руководитель мероприятия.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E1E37">
              <w:rPr>
                <w:sz w:val="24"/>
                <w:szCs w:val="24"/>
                <w:lang w:val="ru-RU"/>
              </w:rPr>
              <w:t>2. «Разработка приемов технологии возделывания масличных культур (лен, рапс, рыжик) при прямом посеве в условиях Северного Казахстана» (2015-2017 гг., рег.№0115РК02374) в рамках ПЦФ МСХ РК – научный руководитель мероприятия.</w:t>
            </w:r>
          </w:p>
          <w:p w:rsidR="003E1E37" w:rsidRPr="003E1E3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E1E37">
              <w:rPr>
                <w:sz w:val="24"/>
                <w:szCs w:val="24"/>
                <w:lang w:val="ru-RU"/>
              </w:rPr>
              <w:t>3. НТП «Трансферт и адаптация технологий по точному земледелию при производстве продукции растениеводства по принципу «демонстрационных хозяйств (полигонов)» в Костанайской области» (2018-2020 гг., рег.№0118РК01394) в рамках ПЦФ МСХ РК – руководитель научно-технической программы (2019-2020 гг.).</w:t>
            </w:r>
          </w:p>
          <w:p w:rsidR="003E1E37" w:rsidRPr="00CF7707" w:rsidRDefault="003E1E37" w:rsidP="003E1E3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E1E37">
              <w:rPr>
                <w:sz w:val="24"/>
                <w:szCs w:val="24"/>
                <w:lang w:val="ru-RU"/>
              </w:rPr>
              <w:t xml:space="preserve">4. НТП «Разработка и научное обоснование технических и технологических параметров для адаптации технологий космического зондирования и точного земледелия под актуальные производственные задачи субъектов АПК и формирование необходимой для этого </w:t>
            </w:r>
            <w:proofErr w:type="spellStart"/>
            <w:r w:rsidRPr="003E1E37">
              <w:rPr>
                <w:sz w:val="24"/>
                <w:szCs w:val="24"/>
                <w:lang w:val="ru-RU"/>
              </w:rPr>
              <w:t>референтной</w:t>
            </w:r>
            <w:proofErr w:type="spellEnd"/>
            <w:r w:rsidRPr="003E1E37">
              <w:rPr>
                <w:sz w:val="24"/>
                <w:szCs w:val="24"/>
                <w:lang w:val="ru-RU"/>
              </w:rPr>
              <w:t xml:space="preserve"> базы данных» (2021-2023 гг., ИРН – BR10865093) в рамках ПЦФ МСХ РК – исполнитель.</w:t>
            </w:r>
          </w:p>
          <w:p w:rsidR="00027BC8" w:rsidRPr="00317CF3" w:rsidRDefault="001516F3" w:rsidP="007D45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Награждена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516F3">
              <w:rPr>
                <w:sz w:val="24"/>
                <w:szCs w:val="24"/>
                <w:lang w:val="ru-RU"/>
              </w:rPr>
              <w:t>нагрудным знаком «</w:t>
            </w:r>
            <w:proofErr w:type="spellStart"/>
            <w:r w:rsidRPr="001516F3">
              <w:rPr>
                <w:sz w:val="24"/>
                <w:szCs w:val="24"/>
                <w:lang w:val="ru-RU"/>
              </w:rPr>
              <w:t>Ауыл</w:t>
            </w:r>
            <w:proofErr w:type="spellEnd"/>
            <w:r w:rsidRPr="001516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6F3">
              <w:rPr>
                <w:sz w:val="24"/>
                <w:szCs w:val="24"/>
                <w:lang w:val="ru-RU"/>
              </w:rPr>
              <w:t>шаруашылығы</w:t>
            </w:r>
            <w:proofErr w:type="spellEnd"/>
            <w:r w:rsidRPr="001516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6F3">
              <w:rPr>
                <w:sz w:val="24"/>
                <w:szCs w:val="24"/>
                <w:lang w:val="ru-RU"/>
              </w:rPr>
              <w:t>саласының</w:t>
            </w:r>
            <w:proofErr w:type="spellEnd"/>
            <w:r w:rsidRPr="001516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6F3">
              <w:rPr>
                <w:sz w:val="24"/>
                <w:szCs w:val="24"/>
                <w:lang w:val="ru-RU"/>
              </w:rPr>
              <w:t>үздігі</w:t>
            </w:r>
            <w:proofErr w:type="spellEnd"/>
            <w:r w:rsidRPr="001516F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(2024 г.)</w:t>
            </w:r>
            <w:r w:rsidR="001635E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3774F" w:rsidRDefault="0023774F" w:rsidP="00027B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27BC8" w:rsidRDefault="00ED1C94" w:rsidP="00027BC8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    Заведующая </w:t>
      </w:r>
      <w:r w:rsidR="007951FF" w:rsidRPr="007951FF">
        <w:rPr>
          <w:color w:val="000000"/>
          <w:sz w:val="24"/>
          <w:szCs w:val="24"/>
          <w:lang w:val="ru-RU"/>
        </w:rPr>
        <w:t xml:space="preserve"> кафедро</w:t>
      </w:r>
      <w:r w:rsidR="007951FF">
        <w:rPr>
          <w:color w:val="000000"/>
          <w:sz w:val="24"/>
          <w:szCs w:val="24"/>
          <w:lang w:val="ru-RU"/>
        </w:rPr>
        <w:t>й</w:t>
      </w:r>
      <w:r w:rsidR="007951FF" w:rsidRPr="007951FF">
        <w:rPr>
          <w:lang w:val="ru-RU"/>
        </w:rPr>
        <w:t xml:space="preserve"> </w:t>
      </w:r>
      <w:r w:rsidR="007951FF" w:rsidRPr="007951FF">
        <w:rPr>
          <w:color w:val="000000"/>
          <w:sz w:val="24"/>
          <w:szCs w:val="24"/>
          <w:lang w:val="ru-RU"/>
        </w:rPr>
        <w:t>стандартизации и пищевых технологий</w:t>
      </w:r>
    </w:p>
    <w:p w:rsidR="00D4229D" w:rsidRDefault="00D4229D" w:rsidP="00027BC8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27BC8" w:rsidRPr="00317CF3" w:rsidRDefault="00027BC8" w:rsidP="00027BC8">
      <w:pPr>
        <w:spacing w:after="0"/>
        <w:jc w:val="both"/>
        <w:rPr>
          <w:sz w:val="24"/>
          <w:szCs w:val="24"/>
          <w:lang w:val="ru-RU"/>
        </w:rPr>
      </w:pPr>
      <w:r w:rsidRPr="00317CF3">
        <w:rPr>
          <w:color w:val="000000"/>
          <w:sz w:val="24"/>
          <w:szCs w:val="24"/>
          <w:lang w:val="ru-RU"/>
        </w:rPr>
        <w:t xml:space="preserve">           ___________________</w:t>
      </w:r>
      <w:bookmarkStart w:id="1" w:name="_GoBack"/>
      <w:bookmarkEnd w:id="1"/>
      <w:r w:rsidRPr="00317CF3">
        <w:rPr>
          <w:color w:val="000000"/>
          <w:sz w:val="24"/>
          <w:szCs w:val="24"/>
          <w:lang w:val="ru-RU"/>
        </w:rPr>
        <w:t>__________</w:t>
      </w:r>
      <w:r w:rsidR="0023774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3774F">
        <w:rPr>
          <w:color w:val="000000"/>
          <w:sz w:val="24"/>
          <w:szCs w:val="24"/>
          <w:lang w:val="ru-RU"/>
        </w:rPr>
        <w:t>Мухамбетова</w:t>
      </w:r>
      <w:proofErr w:type="spellEnd"/>
      <w:r w:rsidR="0023774F">
        <w:rPr>
          <w:color w:val="000000"/>
          <w:sz w:val="24"/>
          <w:szCs w:val="24"/>
          <w:lang w:val="ru-RU"/>
        </w:rPr>
        <w:t xml:space="preserve"> Б.К.</w:t>
      </w:r>
    </w:p>
    <w:p w:rsidR="0023774F" w:rsidRDefault="00027BC8" w:rsidP="00027BC8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17CF3">
        <w:rPr>
          <w:color w:val="000000"/>
          <w:sz w:val="24"/>
          <w:szCs w:val="24"/>
          <w:lang w:val="ru-RU"/>
        </w:rPr>
        <w:t xml:space="preserve">            (подпись, фамилия и инициалы)</w:t>
      </w:r>
    </w:p>
    <w:sectPr w:rsidR="0023774F" w:rsidSect="00237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C8"/>
    <w:rsid w:val="00004E49"/>
    <w:rsid w:val="0001612C"/>
    <w:rsid w:val="00027BC8"/>
    <w:rsid w:val="00054655"/>
    <w:rsid w:val="00062B65"/>
    <w:rsid w:val="000A2226"/>
    <w:rsid w:val="00102158"/>
    <w:rsid w:val="00141EB2"/>
    <w:rsid w:val="001516F3"/>
    <w:rsid w:val="001635E3"/>
    <w:rsid w:val="001A0723"/>
    <w:rsid w:val="001B49E0"/>
    <w:rsid w:val="001C7089"/>
    <w:rsid w:val="001F560B"/>
    <w:rsid w:val="002112D9"/>
    <w:rsid w:val="00214063"/>
    <w:rsid w:val="00216D84"/>
    <w:rsid w:val="0023774F"/>
    <w:rsid w:val="002868FB"/>
    <w:rsid w:val="002C6FFF"/>
    <w:rsid w:val="002D1615"/>
    <w:rsid w:val="00317CF3"/>
    <w:rsid w:val="00333C35"/>
    <w:rsid w:val="0037292C"/>
    <w:rsid w:val="00397861"/>
    <w:rsid w:val="003B4843"/>
    <w:rsid w:val="003B4EE1"/>
    <w:rsid w:val="003D6482"/>
    <w:rsid w:val="003E1E37"/>
    <w:rsid w:val="003F109E"/>
    <w:rsid w:val="00433A3B"/>
    <w:rsid w:val="00435087"/>
    <w:rsid w:val="00450484"/>
    <w:rsid w:val="00467566"/>
    <w:rsid w:val="004758EB"/>
    <w:rsid w:val="00497B3D"/>
    <w:rsid w:val="0051573A"/>
    <w:rsid w:val="00526225"/>
    <w:rsid w:val="00526B7B"/>
    <w:rsid w:val="00530B85"/>
    <w:rsid w:val="005E7954"/>
    <w:rsid w:val="005F6A46"/>
    <w:rsid w:val="006273C3"/>
    <w:rsid w:val="0068400C"/>
    <w:rsid w:val="00691DAA"/>
    <w:rsid w:val="006A2FC5"/>
    <w:rsid w:val="006A4602"/>
    <w:rsid w:val="006A4E4F"/>
    <w:rsid w:val="006E7D3B"/>
    <w:rsid w:val="00702DAF"/>
    <w:rsid w:val="00703BF6"/>
    <w:rsid w:val="007470D8"/>
    <w:rsid w:val="007951FF"/>
    <w:rsid w:val="007A5957"/>
    <w:rsid w:val="008568B1"/>
    <w:rsid w:val="0086076F"/>
    <w:rsid w:val="00875095"/>
    <w:rsid w:val="008A0F44"/>
    <w:rsid w:val="008A3082"/>
    <w:rsid w:val="00926911"/>
    <w:rsid w:val="00931547"/>
    <w:rsid w:val="009361DF"/>
    <w:rsid w:val="009872D9"/>
    <w:rsid w:val="009A5016"/>
    <w:rsid w:val="00A46D28"/>
    <w:rsid w:val="00A620BC"/>
    <w:rsid w:val="00AA3512"/>
    <w:rsid w:val="00AB4BE2"/>
    <w:rsid w:val="00B367C1"/>
    <w:rsid w:val="00B41AD8"/>
    <w:rsid w:val="00B57693"/>
    <w:rsid w:val="00BF66AD"/>
    <w:rsid w:val="00C81916"/>
    <w:rsid w:val="00CA33C3"/>
    <w:rsid w:val="00CB4BC9"/>
    <w:rsid w:val="00CD07FF"/>
    <w:rsid w:val="00CD16B5"/>
    <w:rsid w:val="00CF7707"/>
    <w:rsid w:val="00D00395"/>
    <w:rsid w:val="00D4229D"/>
    <w:rsid w:val="00DC307A"/>
    <w:rsid w:val="00DD6AF7"/>
    <w:rsid w:val="00E043F6"/>
    <w:rsid w:val="00E35001"/>
    <w:rsid w:val="00E42B0D"/>
    <w:rsid w:val="00E622C8"/>
    <w:rsid w:val="00E84F46"/>
    <w:rsid w:val="00ED1C94"/>
    <w:rsid w:val="00EE2D2D"/>
    <w:rsid w:val="00EE5157"/>
    <w:rsid w:val="00F417C2"/>
    <w:rsid w:val="00F533D9"/>
    <w:rsid w:val="00FB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cp:lastPrinted>2024-09-04T06:19:00Z</cp:lastPrinted>
  <dcterms:created xsi:type="dcterms:W3CDTF">2024-02-26T04:32:00Z</dcterms:created>
  <dcterms:modified xsi:type="dcterms:W3CDTF">2024-09-04T06:51:00Z</dcterms:modified>
</cp:coreProperties>
</file>